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3EC" w:rsidRPr="00DF7DEE" w:rsidRDefault="008F0F8A" w:rsidP="00DF7DEE">
      <w:pPr>
        <w:pStyle w:val="ListParagraph"/>
        <w:numPr>
          <w:ilvl w:val="0"/>
          <w:numId w:val="1"/>
        </w:numPr>
        <w:spacing w:line="480" w:lineRule="auto"/>
        <w:ind w:left="360"/>
        <w:jc w:val="both"/>
        <w:rPr>
          <w:rFonts w:ascii="Times New Roman" w:hAnsi="Times New Roman"/>
          <w:sz w:val="24"/>
          <w:szCs w:val="24"/>
        </w:rPr>
      </w:pPr>
      <w:r w:rsidRPr="00DF7DEE">
        <w:rPr>
          <w:rFonts w:ascii="Times New Roman" w:hAnsi="Times New Roman"/>
          <w:sz w:val="24"/>
          <w:szCs w:val="24"/>
        </w:rPr>
        <w:t>Solved in standard format checklist shared by the student.</w:t>
      </w:r>
    </w:p>
    <w:p w:rsidR="008F0F8A" w:rsidRPr="00DF7DEE" w:rsidRDefault="008F0F8A" w:rsidP="00DF7DEE">
      <w:pPr>
        <w:pStyle w:val="ListParagraph"/>
        <w:numPr>
          <w:ilvl w:val="0"/>
          <w:numId w:val="1"/>
        </w:numPr>
        <w:spacing w:line="480" w:lineRule="auto"/>
        <w:ind w:left="360"/>
        <w:jc w:val="both"/>
        <w:rPr>
          <w:rFonts w:ascii="Times New Roman" w:hAnsi="Times New Roman"/>
          <w:sz w:val="24"/>
          <w:szCs w:val="24"/>
        </w:rPr>
      </w:pPr>
      <w:r w:rsidRPr="00DF7DEE">
        <w:rPr>
          <w:rFonts w:ascii="Times New Roman" w:hAnsi="Times New Roman"/>
          <w:sz w:val="24"/>
          <w:szCs w:val="24"/>
        </w:rPr>
        <w:t xml:space="preserve">Analysis performed in the WER Financials shared by the student. </w:t>
      </w:r>
    </w:p>
    <w:p w:rsidR="008F0F8A" w:rsidRPr="00DF7DEE" w:rsidRDefault="003D1174" w:rsidP="00DF7DEE">
      <w:pPr>
        <w:pStyle w:val="ListParagraph"/>
        <w:numPr>
          <w:ilvl w:val="0"/>
          <w:numId w:val="1"/>
        </w:numPr>
        <w:spacing w:line="480" w:lineRule="auto"/>
        <w:ind w:left="360"/>
        <w:jc w:val="both"/>
        <w:rPr>
          <w:rFonts w:ascii="Times New Roman" w:hAnsi="Times New Roman"/>
          <w:sz w:val="24"/>
          <w:szCs w:val="24"/>
        </w:rPr>
      </w:pPr>
      <w:r w:rsidRPr="00DF7DEE">
        <w:rPr>
          <w:rFonts w:ascii="Times New Roman" w:hAnsi="Times New Roman"/>
          <w:sz w:val="24"/>
          <w:szCs w:val="24"/>
        </w:rPr>
        <w:t xml:space="preserve">Within the context of the current company users of financial statements will include the following company management, current and potential providers of capital, government agencies and tax authorities. Needs of each of the financial statement user group are explained below; </w:t>
      </w:r>
    </w:p>
    <w:tbl>
      <w:tblPr>
        <w:tblStyle w:val="TableGrid"/>
        <w:tblW w:w="0" w:type="auto"/>
        <w:tblInd w:w="360" w:type="dxa"/>
        <w:tblLook w:val="04A0" w:firstRow="1" w:lastRow="0" w:firstColumn="1" w:lastColumn="0" w:noHBand="0" w:noVBand="1"/>
      </w:tblPr>
      <w:tblGrid>
        <w:gridCol w:w="2718"/>
        <w:gridCol w:w="6498"/>
      </w:tblGrid>
      <w:tr w:rsidR="00065C4F" w:rsidRPr="00DF7DEE" w:rsidTr="00065C4F">
        <w:tc>
          <w:tcPr>
            <w:tcW w:w="2718" w:type="dxa"/>
            <w:vAlign w:val="center"/>
          </w:tcPr>
          <w:p w:rsidR="00065C4F" w:rsidRPr="00DF7DEE" w:rsidRDefault="00065C4F" w:rsidP="00DF7DEE">
            <w:pPr>
              <w:pStyle w:val="ListParagraph"/>
              <w:spacing w:line="480" w:lineRule="auto"/>
              <w:ind w:left="0"/>
              <w:jc w:val="both"/>
              <w:rPr>
                <w:rFonts w:ascii="Times New Roman" w:hAnsi="Times New Roman"/>
                <w:sz w:val="24"/>
                <w:szCs w:val="24"/>
              </w:rPr>
            </w:pPr>
            <w:r w:rsidRPr="00DF7DEE">
              <w:rPr>
                <w:rFonts w:ascii="Times New Roman" w:hAnsi="Times New Roman"/>
                <w:sz w:val="24"/>
                <w:szCs w:val="24"/>
              </w:rPr>
              <w:t>Company Management</w:t>
            </w:r>
          </w:p>
        </w:tc>
        <w:tc>
          <w:tcPr>
            <w:tcW w:w="6498" w:type="dxa"/>
          </w:tcPr>
          <w:p w:rsidR="00065C4F" w:rsidRPr="00DF7DEE" w:rsidRDefault="00DA0DCF" w:rsidP="00DF7DEE">
            <w:pPr>
              <w:pStyle w:val="ListParagraph"/>
              <w:spacing w:line="480" w:lineRule="auto"/>
              <w:ind w:left="0"/>
              <w:jc w:val="both"/>
              <w:rPr>
                <w:rFonts w:ascii="Times New Roman" w:hAnsi="Times New Roman"/>
                <w:sz w:val="24"/>
                <w:szCs w:val="24"/>
              </w:rPr>
            </w:pPr>
            <w:r w:rsidRPr="00DF7DEE">
              <w:rPr>
                <w:rFonts w:ascii="Times New Roman" w:hAnsi="Times New Roman"/>
                <w:sz w:val="24"/>
                <w:szCs w:val="24"/>
              </w:rPr>
              <w:t xml:space="preserve">Financial statements are required by the company management to appropriately understand company performance and position in terms of profitability, liquidity and solvency. Said information will in turn allow the management to make informed </w:t>
            </w:r>
            <w:r w:rsidR="00475ED3" w:rsidRPr="00DF7DEE">
              <w:rPr>
                <w:rFonts w:ascii="Times New Roman" w:hAnsi="Times New Roman"/>
                <w:sz w:val="24"/>
                <w:szCs w:val="24"/>
              </w:rPr>
              <w:t xml:space="preserve">financing and operational </w:t>
            </w:r>
            <w:r w:rsidRPr="00DF7DEE">
              <w:rPr>
                <w:rFonts w:ascii="Times New Roman" w:hAnsi="Times New Roman"/>
                <w:sz w:val="24"/>
                <w:szCs w:val="24"/>
              </w:rPr>
              <w:t>decisions</w:t>
            </w:r>
            <w:r w:rsidR="00475ED3" w:rsidRPr="00DF7DEE">
              <w:rPr>
                <w:rFonts w:ascii="Times New Roman" w:hAnsi="Times New Roman"/>
                <w:sz w:val="24"/>
                <w:szCs w:val="24"/>
              </w:rPr>
              <w:t xml:space="preserve">. </w:t>
            </w:r>
          </w:p>
        </w:tc>
      </w:tr>
      <w:tr w:rsidR="00065C4F" w:rsidRPr="00DF7DEE" w:rsidTr="00065C4F">
        <w:tc>
          <w:tcPr>
            <w:tcW w:w="2718" w:type="dxa"/>
            <w:vAlign w:val="center"/>
          </w:tcPr>
          <w:p w:rsidR="00065C4F" w:rsidRPr="00DF7DEE" w:rsidRDefault="00065C4F" w:rsidP="00DF7DEE">
            <w:pPr>
              <w:pStyle w:val="ListParagraph"/>
              <w:spacing w:line="480" w:lineRule="auto"/>
              <w:ind w:left="0"/>
              <w:jc w:val="both"/>
              <w:rPr>
                <w:rFonts w:ascii="Times New Roman" w:hAnsi="Times New Roman"/>
                <w:sz w:val="24"/>
                <w:szCs w:val="24"/>
              </w:rPr>
            </w:pPr>
            <w:r w:rsidRPr="00DF7DEE">
              <w:rPr>
                <w:rFonts w:ascii="Times New Roman" w:hAnsi="Times New Roman"/>
                <w:sz w:val="24"/>
                <w:szCs w:val="24"/>
              </w:rPr>
              <w:t>Debt Holders</w:t>
            </w:r>
            <w:r w:rsidR="00475ED3" w:rsidRPr="00DF7DEE">
              <w:rPr>
                <w:rFonts w:ascii="Times New Roman" w:hAnsi="Times New Roman"/>
                <w:sz w:val="24"/>
                <w:szCs w:val="24"/>
              </w:rPr>
              <w:t>/ lenders</w:t>
            </w:r>
          </w:p>
        </w:tc>
        <w:tc>
          <w:tcPr>
            <w:tcW w:w="6498" w:type="dxa"/>
          </w:tcPr>
          <w:p w:rsidR="00065C4F" w:rsidRPr="00DF7DEE" w:rsidRDefault="00475ED3" w:rsidP="00DF7DEE">
            <w:pPr>
              <w:pStyle w:val="ListParagraph"/>
              <w:spacing w:line="480" w:lineRule="auto"/>
              <w:ind w:left="0"/>
              <w:jc w:val="both"/>
              <w:rPr>
                <w:rFonts w:ascii="Times New Roman" w:hAnsi="Times New Roman"/>
                <w:sz w:val="24"/>
                <w:szCs w:val="24"/>
              </w:rPr>
            </w:pPr>
            <w:r w:rsidRPr="00DF7DEE">
              <w:rPr>
                <w:rFonts w:ascii="Times New Roman" w:hAnsi="Times New Roman"/>
                <w:sz w:val="24"/>
                <w:szCs w:val="24"/>
              </w:rPr>
              <w:t xml:space="preserve">Debt holders use financial statements to ensure the company remains in compliance with agreed debt covenants and to ensure the company has continued ability to service debt. </w:t>
            </w:r>
          </w:p>
        </w:tc>
      </w:tr>
      <w:tr w:rsidR="00065C4F" w:rsidRPr="00DF7DEE" w:rsidTr="00065C4F">
        <w:tc>
          <w:tcPr>
            <w:tcW w:w="2718" w:type="dxa"/>
            <w:vAlign w:val="center"/>
          </w:tcPr>
          <w:p w:rsidR="00065C4F" w:rsidRPr="00DF7DEE" w:rsidRDefault="00065C4F" w:rsidP="00DF7DEE">
            <w:pPr>
              <w:pStyle w:val="ListParagraph"/>
              <w:spacing w:line="480" w:lineRule="auto"/>
              <w:ind w:left="0"/>
              <w:jc w:val="both"/>
              <w:rPr>
                <w:rFonts w:ascii="Times New Roman" w:hAnsi="Times New Roman"/>
                <w:sz w:val="24"/>
                <w:szCs w:val="24"/>
              </w:rPr>
            </w:pPr>
            <w:r w:rsidRPr="00DF7DEE">
              <w:rPr>
                <w:rFonts w:ascii="Times New Roman" w:hAnsi="Times New Roman"/>
                <w:sz w:val="24"/>
                <w:szCs w:val="24"/>
              </w:rPr>
              <w:t>Equity Investors</w:t>
            </w:r>
          </w:p>
        </w:tc>
        <w:tc>
          <w:tcPr>
            <w:tcW w:w="6498" w:type="dxa"/>
          </w:tcPr>
          <w:p w:rsidR="00065C4F" w:rsidRPr="00DF7DEE" w:rsidRDefault="00475ED3" w:rsidP="00DF7DEE">
            <w:pPr>
              <w:pStyle w:val="ListParagraph"/>
              <w:spacing w:line="480" w:lineRule="auto"/>
              <w:ind w:left="0"/>
              <w:jc w:val="both"/>
              <w:rPr>
                <w:rFonts w:ascii="Times New Roman" w:hAnsi="Times New Roman"/>
                <w:sz w:val="24"/>
                <w:szCs w:val="24"/>
              </w:rPr>
            </w:pPr>
            <w:r w:rsidRPr="00DF7DEE">
              <w:rPr>
                <w:rFonts w:ascii="Times New Roman" w:hAnsi="Times New Roman"/>
                <w:sz w:val="24"/>
                <w:szCs w:val="24"/>
              </w:rPr>
              <w:t xml:space="preserve">In the context of the company potential equity investors will use the financial statements to understanding company’s position and performance and to determine the intrinsic value of company stock. </w:t>
            </w:r>
          </w:p>
        </w:tc>
      </w:tr>
      <w:tr w:rsidR="00065C4F" w:rsidRPr="00DF7DEE" w:rsidTr="00065C4F">
        <w:tc>
          <w:tcPr>
            <w:tcW w:w="2718" w:type="dxa"/>
            <w:vAlign w:val="center"/>
          </w:tcPr>
          <w:p w:rsidR="00065C4F" w:rsidRPr="00DF7DEE" w:rsidRDefault="00065C4F" w:rsidP="00DF7DEE">
            <w:pPr>
              <w:pStyle w:val="ListParagraph"/>
              <w:spacing w:line="480" w:lineRule="auto"/>
              <w:ind w:left="0"/>
              <w:jc w:val="both"/>
              <w:rPr>
                <w:rFonts w:ascii="Times New Roman" w:hAnsi="Times New Roman"/>
                <w:sz w:val="24"/>
                <w:szCs w:val="24"/>
              </w:rPr>
            </w:pPr>
            <w:r w:rsidRPr="00DF7DEE">
              <w:rPr>
                <w:rFonts w:ascii="Times New Roman" w:hAnsi="Times New Roman"/>
                <w:sz w:val="24"/>
                <w:szCs w:val="24"/>
              </w:rPr>
              <w:t>Government Agencies</w:t>
            </w:r>
          </w:p>
        </w:tc>
        <w:tc>
          <w:tcPr>
            <w:tcW w:w="6498" w:type="dxa"/>
          </w:tcPr>
          <w:p w:rsidR="00065C4F" w:rsidRPr="00DF7DEE" w:rsidRDefault="00475ED3" w:rsidP="00DF7DEE">
            <w:pPr>
              <w:pStyle w:val="ListParagraph"/>
              <w:spacing w:line="480" w:lineRule="auto"/>
              <w:ind w:left="0"/>
              <w:jc w:val="both"/>
              <w:rPr>
                <w:rFonts w:ascii="Times New Roman" w:hAnsi="Times New Roman"/>
                <w:sz w:val="24"/>
                <w:szCs w:val="24"/>
              </w:rPr>
            </w:pPr>
            <w:r w:rsidRPr="00DF7DEE">
              <w:rPr>
                <w:rFonts w:ascii="Times New Roman" w:hAnsi="Times New Roman"/>
                <w:sz w:val="24"/>
                <w:szCs w:val="24"/>
              </w:rPr>
              <w:t xml:space="preserve">Government agencies will use to financial statements to determine if the royalties paid to government of Alberta were in line with actual revenues earned. </w:t>
            </w:r>
          </w:p>
        </w:tc>
      </w:tr>
    </w:tbl>
    <w:p w:rsidR="00065C4F" w:rsidRPr="00DF7DEE" w:rsidRDefault="005242FA" w:rsidP="0022793F">
      <w:pPr>
        <w:pStyle w:val="ListParagraph"/>
        <w:spacing w:before="240" w:line="480" w:lineRule="auto"/>
        <w:ind w:left="360"/>
        <w:jc w:val="right"/>
        <w:rPr>
          <w:rFonts w:ascii="Times New Roman" w:hAnsi="Times New Roman"/>
          <w:sz w:val="24"/>
          <w:szCs w:val="24"/>
        </w:rPr>
      </w:pPr>
      <w:r w:rsidRPr="00DF7DEE">
        <w:rPr>
          <w:rFonts w:ascii="Times New Roman" w:hAnsi="Times New Roman"/>
          <w:sz w:val="24"/>
          <w:szCs w:val="24"/>
        </w:rPr>
        <w:t>(</w:t>
      </w:r>
      <w:r w:rsidR="00DF7DEE" w:rsidRPr="00DF7DEE">
        <w:rPr>
          <w:rFonts w:ascii="Times New Roman" w:hAnsi="Times New Roman"/>
          <w:sz w:val="24"/>
          <w:szCs w:val="24"/>
        </w:rPr>
        <w:t>Bragg</w:t>
      </w:r>
      <w:r w:rsidRPr="00DF7DEE">
        <w:rPr>
          <w:rFonts w:ascii="Times New Roman" w:hAnsi="Times New Roman"/>
          <w:sz w:val="24"/>
          <w:szCs w:val="24"/>
        </w:rPr>
        <w:t>, 2021)</w:t>
      </w:r>
    </w:p>
    <w:p w:rsidR="00A806E7" w:rsidRPr="00DF7DEE" w:rsidRDefault="0090264B" w:rsidP="00DF7DEE">
      <w:pPr>
        <w:pStyle w:val="ListParagraph"/>
        <w:numPr>
          <w:ilvl w:val="0"/>
          <w:numId w:val="1"/>
        </w:numPr>
        <w:spacing w:before="240" w:line="480" w:lineRule="auto"/>
        <w:jc w:val="both"/>
        <w:rPr>
          <w:rFonts w:ascii="Times New Roman" w:hAnsi="Times New Roman"/>
          <w:sz w:val="24"/>
          <w:szCs w:val="24"/>
        </w:rPr>
      </w:pPr>
      <w:r w:rsidRPr="00DF7DEE">
        <w:rPr>
          <w:rFonts w:ascii="Times New Roman" w:hAnsi="Times New Roman"/>
          <w:sz w:val="24"/>
          <w:szCs w:val="24"/>
        </w:rPr>
        <w:lastRenderedPageBreak/>
        <w:t xml:space="preserve">An external audit engagement to provide reasonable assurance that financial statements are free from any material misstatement is recommended for the company. </w:t>
      </w:r>
      <w:bookmarkStart w:id="0" w:name="_GoBack"/>
      <w:bookmarkEnd w:id="0"/>
    </w:p>
    <w:p w:rsidR="000D275D" w:rsidRPr="00DF7DEE" w:rsidRDefault="000D275D" w:rsidP="00DF7DEE">
      <w:pPr>
        <w:pStyle w:val="ListParagraph"/>
        <w:numPr>
          <w:ilvl w:val="0"/>
          <w:numId w:val="1"/>
        </w:numPr>
        <w:spacing w:before="240" w:line="480" w:lineRule="auto"/>
        <w:jc w:val="both"/>
        <w:rPr>
          <w:rFonts w:ascii="Times New Roman" w:hAnsi="Times New Roman"/>
          <w:sz w:val="24"/>
          <w:szCs w:val="24"/>
        </w:rPr>
      </w:pPr>
      <w:r w:rsidRPr="00DF7DEE">
        <w:rPr>
          <w:rFonts w:ascii="Times New Roman" w:hAnsi="Times New Roman"/>
          <w:sz w:val="24"/>
          <w:szCs w:val="24"/>
        </w:rPr>
        <w:t>Provided in standard format checklist shared by the student.</w:t>
      </w:r>
    </w:p>
    <w:p w:rsidR="00D72758" w:rsidRPr="00DF7DEE" w:rsidRDefault="00C16546" w:rsidP="00DF7DEE">
      <w:pPr>
        <w:pStyle w:val="ListParagraph"/>
        <w:numPr>
          <w:ilvl w:val="0"/>
          <w:numId w:val="1"/>
        </w:numPr>
        <w:spacing w:before="240" w:line="480" w:lineRule="auto"/>
        <w:jc w:val="both"/>
        <w:rPr>
          <w:rFonts w:ascii="Times New Roman" w:hAnsi="Times New Roman"/>
          <w:sz w:val="24"/>
          <w:szCs w:val="24"/>
        </w:rPr>
      </w:pPr>
      <w:r w:rsidRPr="00DF7DEE">
        <w:rPr>
          <w:rFonts w:ascii="Times New Roman" w:hAnsi="Times New Roman"/>
          <w:sz w:val="24"/>
          <w:szCs w:val="24"/>
        </w:rPr>
        <w:t xml:space="preserve">Inherent risk is simple terms is the associated with errors or omissions within the financial statements as a result of factors other than a failure of internal control. </w:t>
      </w:r>
      <w:r w:rsidR="00C712EE" w:rsidRPr="00DF7DEE">
        <w:rPr>
          <w:rFonts w:ascii="Times New Roman" w:hAnsi="Times New Roman"/>
          <w:sz w:val="24"/>
          <w:szCs w:val="24"/>
        </w:rPr>
        <w:t xml:space="preserve">Inherent risks associated with the company are summarized below; </w:t>
      </w:r>
    </w:p>
    <w:tbl>
      <w:tblPr>
        <w:tblStyle w:val="TableGrid"/>
        <w:tblW w:w="0" w:type="auto"/>
        <w:tblInd w:w="360" w:type="dxa"/>
        <w:tblLook w:val="04A0" w:firstRow="1" w:lastRow="0" w:firstColumn="1" w:lastColumn="0" w:noHBand="0" w:noVBand="1"/>
      </w:tblPr>
      <w:tblGrid>
        <w:gridCol w:w="7218"/>
        <w:gridCol w:w="1998"/>
      </w:tblGrid>
      <w:tr w:rsidR="00C712EE" w:rsidRPr="00DF7DEE" w:rsidTr="00C712EE">
        <w:tc>
          <w:tcPr>
            <w:tcW w:w="7218" w:type="dxa"/>
            <w:vAlign w:val="center"/>
          </w:tcPr>
          <w:p w:rsidR="00C712EE" w:rsidRPr="00DF7DEE" w:rsidRDefault="00C712EE" w:rsidP="00DF7DEE">
            <w:pPr>
              <w:pStyle w:val="ListParagraph"/>
              <w:spacing w:line="480" w:lineRule="auto"/>
              <w:ind w:left="0"/>
              <w:jc w:val="both"/>
              <w:rPr>
                <w:rFonts w:ascii="Times New Roman" w:hAnsi="Times New Roman"/>
                <w:b/>
                <w:sz w:val="24"/>
                <w:szCs w:val="24"/>
              </w:rPr>
            </w:pPr>
            <w:r w:rsidRPr="00DF7DEE">
              <w:rPr>
                <w:rFonts w:ascii="Times New Roman" w:hAnsi="Times New Roman"/>
                <w:b/>
                <w:sz w:val="24"/>
                <w:szCs w:val="24"/>
              </w:rPr>
              <w:t>Risk Description</w:t>
            </w:r>
          </w:p>
        </w:tc>
        <w:tc>
          <w:tcPr>
            <w:tcW w:w="1998" w:type="dxa"/>
            <w:vAlign w:val="center"/>
          </w:tcPr>
          <w:p w:rsidR="00C712EE" w:rsidRPr="00DF7DEE" w:rsidRDefault="00C712EE" w:rsidP="00DF7DEE">
            <w:pPr>
              <w:pStyle w:val="ListParagraph"/>
              <w:spacing w:line="480" w:lineRule="auto"/>
              <w:ind w:left="0"/>
              <w:jc w:val="both"/>
              <w:rPr>
                <w:rFonts w:ascii="Times New Roman" w:hAnsi="Times New Roman"/>
                <w:b/>
                <w:sz w:val="24"/>
                <w:szCs w:val="24"/>
              </w:rPr>
            </w:pPr>
            <w:r w:rsidRPr="00DF7DEE">
              <w:rPr>
                <w:rFonts w:ascii="Times New Roman" w:hAnsi="Times New Roman"/>
                <w:b/>
                <w:sz w:val="24"/>
                <w:szCs w:val="24"/>
              </w:rPr>
              <w:t>Risk Assessment</w:t>
            </w:r>
          </w:p>
        </w:tc>
      </w:tr>
      <w:tr w:rsidR="00C712EE" w:rsidRPr="00DF7DEE" w:rsidTr="00C712EE">
        <w:tc>
          <w:tcPr>
            <w:tcW w:w="7218" w:type="dxa"/>
            <w:vAlign w:val="center"/>
          </w:tcPr>
          <w:p w:rsidR="00C712EE" w:rsidRPr="00DF7DEE" w:rsidRDefault="00101354" w:rsidP="00DF7DEE">
            <w:pPr>
              <w:pStyle w:val="ListParagraph"/>
              <w:spacing w:line="480" w:lineRule="auto"/>
              <w:ind w:left="0"/>
              <w:jc w:val="both"/>
              <w:rPr>
                <w:rFonts w:ascii="Times New Roman" w:hAnsi="Times New Roman"/>
                <w:sz w:val="24"/>
                <w:szCs w:val="24"/>
              </w:rPr>
            </w:pPr>
            <w:r w:rsidRPr="00DF7DEE">
              <w:rPr>
                <w:rFonts w:ascii="Times New Roman" w:hAnsi="Times New Roman"/>
                <w:sz w:val="24"/>
                <w:szCs w:val="24"/>
              </w:rPr>
              <w:t xml:space="preserve">Risk associated with management estimates used for development of financial projections. </w:t>
            </w:r>
          </w:p>
        </w:tc>
        <w:tc>
          <w:tcPr>
            <w:tcW w:w="1998" w:type="dxa"/>
          </w:tcPr>
          <w:p w:rsidR="00C712EE" w:rsidRPr="00DF7DEE" w:rsidRDefault="00101354" w:rsidP="00DF7DEE">
            <w:pPr>
              <w:pStyle w:val="ListParagraph"/>
              <w:spacing w:line="480" w:lineRule="auto"/>
              <w:ind w:left="0"/>
              <w:jc w:val="both"/>
              <w:rPr>
                <w:rFonts w:ascii="Times New Roman" w:hAnsi="Times New Roman"/>
                <w:sz w:val="24"/>
                <w:szCs w:val="24"/>
              </w:rPr>
            </w:pPr>
            <w:r w:rsidRPr="00DF7DEE">
              <w:rPr>
                <w:rFonts w:ascii="Times New Roman" w:hAnsi="Times New Roman"/>
                <w:sz w:val="24"/>
                <w:szCs w:val="24"/>
              </w:rPr>
              <w:t>High</w:t>
            </w:r>
          </w:p>
        </w:tc>
      </w:tr>
      <w:tr w:rsidR="00C712EE" w:rsidRPr="00DF7DEE" w:rsidTr="00C712EE">
        <w:tc>
          <w:tcPr>
            <w:tcW w:w="7218" w:type="dxa"/>
            <w:vAlign w:val="center"/>
          </w:tcPr>
          <w:p w:rsidR="00C712EE" w:rsidRPr="00DF7DEE" w:rsidRDefault="00101354" w:rsidP="00DF7DEE">
            <w:pPr>
              <w:pStyle w:val="ListParagraph"/>
              <w:spacing w:line="480" w:lineRule="auto"/>
              <w:ind w:left="0"/>
              <w:jc w:val="both"/>
              <w:rPr>
                <w:rFonts w:ascii="Times New Roman" w:hAnsi="Times New Roman"/>
                <w:sz w:val="24"/>
                <w:szCs w:val="24"/>
              </w:rPr>
            </w:pPr>
            <w:r w:rsidRPr="00DF7DEE">
              <w:rPr>
                <w:rFonts w:ascii="Times New Roman" w:hAnsi="Times New Roman"/>
                <w:sz w:val="24"/>
                <w:szCs w:val="24"/>
              </w:rPr>
              <w:t xml:space="preserve">Risk associated with management estimates used for preparation of existing financial statements as the company was not required to follow international financial reporting standards. </w:t>
            </w:r>
          </w:p>
        </w:tc>
        <w:tc>
          <w:tcPr>
            <w:tcW w:w="1998" w:type="dxa"/>
          </w:tcPr>
          <w:p w:rsidR="00C712EE" w:rsidRPr="00DF7DEE" w:rsidRDefault="00101354" w:rsidP="00DF7DEE">
            <w:pPr>
              <w:pStyle w:val="ListParagraph"/>
              <w:spacing w:line="480" w:lineRule="auto"/>
              <w:ind w:left="0"/>
              <w:jc w:val="both"/>
              <w:rPr>
                <w:rFonts w:ascii="Times New Roman" w:hAnsi="Times New Roman"/>
                <w:sz w:val="24"/>
                <w:szCs w:val="24"/>
              </w:rPr>
            </w:pPr>
            <w:r w:rsidRPr="00DF7DEE">
              <w:rPr>
                <w:rFonts w:ascii="Times New Roman" w:hAnsi="Times New Roman"/>
                <w:sz w:val="24"/>
                <w:szCs w:val="24"/>
              </w:rPr>
              <w:t>High</w:t>
            </w:r>
          </w:p>
        </w:tc>
      </w:tr>
      <w:tr w:rsidR="00C712EE" w:rsidRPr="00DF7DEE" w:rsidTr="00C712EE">
        <w:tc>
          <w:tcPr>
            <w:tcW w:w="7218" w:type="dxa"/>
            <w:vAlign w:val="center"/>
          </w:tcPr>
          <w:p w:rsidR="00C712EE" w:rsidRPr="00DF7DEE" w:rsidRDefault="00CF39AA" w:rsidP="00DF7DEE">
            <w:pPr>
              <w:pStyle w:val="ListParagraph"/>
              <w:spacing w:line="480" w:lineRule="auto"/>
              <w:ind w:left="0"/>
              <w:jc w:val="both"/>
              <w:rPr>
                <w:rFonts w:ascii="Times New Roman" w:hAnsi="Times New Roman"/>
                <w:sz w:val="24"/>
                <w:szCs w:val="24"/>
              </w:rPr>
            </w:pPr>
            <w:r w:rsidRPr="00DF7DEE">
              <w:rPr>
                <w:rFonts w:ascii="Times New Roman" w:hAnsi="Times New Roman"/>
                <w:sz w:val="24"/>
                <w:szCs w:val="24"/>
              </w:rPr>
              <w:t xml:space="preserve">Management discretion involved in determination of appropriate levels of cleaning up costs which can range from $150,000 to millions. </w:t>
            </w:r>
          </w:p>
        </w:tc>
        <w:tc>
          <w:tcPr>
            <w:tcW w:w="1998" w:type="dxa"/>
          </w:tcPr>
          <w:p w:rsidR="00C712EE" w:rsidRPr="00DF7DEE" w:rsidRDefault="00CF39AA" w:rsidP="00DF7DEE">
            <w:pPr>
              <w:pStyle w:val="ListParagraph"/>
              <w:spacing w:line="480" w:lineRule="auto"/>
              <w:ind w:left="0"/>
              <w:jc w:val="both"/>
              <w:rPr>
                <w:rFonts w:ascii="Times New Roman" w:hAnsi="Times New Roman"/>
                <w:sz w:val="24"/>
                <w:szCs w:val="24"/>
              </w:rPr>
            </w:pPr>
            <w:r w:rsidRPr="00DF7DEE">
              <w:rPr>
                <w:rFonts w:ascii="Times New Roman" w:hAnsi="Times New Roman"/>
                <w:sz w:val="24"/>
                <w:szCs w:val="24"/>
              </w:rPr>
              <w:t>High</w:t>
            </w:r>
          </w:p>
        </w:tc>
      </w:tr>
      <w:tr w:rsidR="00C712EE" w:rsidRPr="00DF7DEE" w:rsidTr="00C712EE">
        <w:tc>
          <w:tcPr>
            <w:tcW w:w="7218" w:type="dxa"/>
            <w:vAlign w:val="center"/>
          </w:tcPr>
          <w:p w:rsidR="00C712EE" w:rsidRPr="00DF7DEE" w:rsidRDefault="00CF39AA" w:rsidP="00DF7DEE">
            <w:pPr>
              <w:pStyle w:val="ListParagraph"/>
              <w:spacing w:line="480" w:lineRule="auto"/>
              <w:ind w:left="0"/>
              <w:jc w:val="both"/>
              <w:rPr>
                <w:rFonts w:ascii="Times New Roman" w:hAnsi="Times New Roman"/>
                <w:sz w:val="24"/>
                <w:szCs w:val="24"/>
              </w:rPr>
            </w:pPr>
            <w:r w:rsidRPr="00DF7DEE">
              <w:rPr>
                <w:rFonts w:ascii="Times New Roman" w:hAnsi="Times New Roman"/>
                <w:sz w:val="24"/>
                <w:szCs w:val="24"/>
              </w:rPr>
              <w:t xml:space="preserve">Estimates used by management for deprecation of leased asset at five percent double declining method. </w:t>
            </w:r>
          </w:p>
        </w:tc>
        <w:tc>
          <w:tcPr>
            <w:tcW w:w="1998" w:type="dxa"/>
          </w:tcPr>
          <w:p w:rsidR="00C712EE" w:rsidRPr="00DF7DEE" w:rsidRDefault="00CF39AA" w:rsidP="00DF7DEE">
            <w:pPr>
              <w:pStyle w:val="ListParagraph"/>
              <w:spacing w:line="480" w:lineRule="auto"/>
              <w:ind w:left="0"/>
              <w:jc w:val="both"/>
              <w:rPr>
                <w:rFonts w:ascii="Times New Roman" w:hAnsi="Times New Roman"/>
                <w:sz w:val="24"/>
                <w:szCs w:val="24"/>
              </w:rPr>
            </w:pPr>
            <w:r w:rsidRPr="00DF7DEE">
              <w:rPr>
                <w:rFonts w:ascii="Times New Roman" w:hAnsi="Times New Roman"/>
                <w:sz w:val="24"/>
                <w:szCs w:val="24"/>
              </w:rPr>
              <w:t>High</w:t>
            </w:r>
          </w:p>
        </w:tc>
      </w:tr>
    </w:tbl>
    <w:p w:rsidR="004E3E2E" w:rsidRPr="00DF7DEE" w:rsidRDefault="00101354" w:rsidP="00DF7DEE">
      <w:pPr>
        <w:pStyle w:val="ListParagraph"/>
        <w:numPr>
          <w:ilvl w:val="0"/>
          <w:numId w:val="1"/>
        </w:numPr>
        <w:spacing w:before="240" w:line="480" w:lineRule="auto"/>
        <w:jc w:val="both"/>
        <w:rPr>
          <w:rFonts w:ascii="Times New Roman" w:hAnsi="Times New Roman"/>
          <w:sz w:val="24"/>
          <w:szCs w:val="24"/>
        </w:rPr>
      </w:pPr>
      <w:r w:rsidRPr="00DF7DEE">
        <w:rPr>
          <w:rFonts w:ascii="Times New Roman" w:hAnsi="Times New Roman"/>
          <w:sz w:val="24"/>
          <w:szCs w:val="24"/>
        </w:rPr>
        <w:t xml:space="preserve">Given the high levels of inherent risk it is recommended that the audit engagement is not accepted. </w:t>
      </w:r>
      <w:r w:rsidR="00C712EE" w:rsidRPr="00DF7DEE">
        <w:rPr>
          <w:rFonts w:ascii="Times New Roman" w:hAnsi="Times New Roman"/>
          <w:sz w:val="24"/>
          <w:szCs w:val="24"/>
        </w:rPr>
        <w:t xml:space="preserve"> </w:t>
      </w:r>
      <w:r w:rsidR="00DF7DEE" w:rsidRPr="00DF7DEE">
        <w:rPr>
          <w:rFonts w:ascii="Times New Roman" w:hAnsi="Times New Roman"/>
          <w:sz w:val="24"/>
          <w:szCs w:val="24"/>
        </w:rPr>
        <w:t xml:space="preserve">Specifically significant assertions were made by the management with regards to preparation of the financial statements as discussed above and any change in the said assumptions may cause substantial changes to the overall financial statements. </w:t>
      </w:r>
    </w:p>
    <w:p w:rsidR="00DF7DEE" w:rsidRPr="00DF7DEE" w:rsidRDefault="00DF7DEE" w:rsidP="00DF7DEE">
      <w:pPr>
        <w:spacing w:line="480" w:lineRule="auto"/>
        <w:jc w:val="both"/>
        <w:rPr>
          <w:rFonts w:ascii="Times New Roman" w:hAnsi="Times New Roman"/>
          <w:sz w:val="24"/>
          <w:szCs w:val="24"/>
        </w:rPr>
      </w:pPr>
      <w:r w:rsidRPr="00DF7DEE">
        <w:rPr>
          <w:rFonts w:ascii="Times New Roman" w:hAnsi="Times New Roman"/>
          <w:sz w:val="24"/>
          <w:szCs w:val="24"/>
        </w:rPr>
        <w:br w:type="page"/>
      </w:r>
    </w:p>
    <w:p w:rsidR="00DF7DEE" w:rsidRPr="00DF7DEE" w:rsidRDefault="00DF7DEE" w:rsidP="00DF7DEE">
      <w:pPr>
        <w:spacing w:before="240" w:line="480" w:lineRule="auto"/>
        <w:jc w:val="both"/>
        <w:rPr>
          <w:rFonts w:ascii="Times New Roman" w:hAnsi="Times New Roman"/>
          <w:b/>
          <w:sz w:val="24"/>
          <w:szCs w:val="24"/>
        </w:rPr>
      </w:pPr>
      <w:r w:rsidRPr="00DF7DEE">
        <w:rPr>
          <w:rFonts w:ascii="Times New Roman" w:hAnsi="Times New Roman"/>
          <w:b/>
          <w:sz w:val="24"/>
          <w:szCs w:val="24"/>
        </w:rPr>
        <w:lastRenderedPageBreak/>
        <w:t xml:space="preserve">References: </w:t>
      </w:r>
    </w:p>
    <w:p w:rsidR="00DF7DEE" w:rsidRPr="00DF7DEE" w:rsidRDefault="00DF7DEE" w:rsidP="00DF7DEE">
      <w:pPr>
        <w:spacing w:after="180" w:line="480" w:lineRule="auto"/>
        <w:ind w:left="450" w:hanging="450"/>
        <w:jc w:val="both"/>
        <w:rPr>
          <w:rFonts w:ascii="Times New Roman" w:eastAsia="Times New Roman" w:hAnsi="Times New Roman"/>
          <w:color w:val="000000"/>
          <w:sz w:val="24"/>
          <w:szCs w:val="24"/>
        </w:rPr>
      </w:pPr>
      <w:r w:rsidRPr="00DF7DEE">
        <w:rPr>
          <w:rFonts w:ascii="Times New Roman" w:eastAsia="Times New Roman" w:hAnsi="Times New Roman"/>
          <w:color w:val="000000"/>
          <w:sz w:val="24"/>
          <w:szCs w:val="24"/>
        </w:rPr>
        <w:t xml:space="preserve">Bragg, S. (2021). </w:t>
      </w:r>
      <w:proofErr w:type="gramStart"/>
      <w:r w:rsidRPr="00DF7DEE">
        <w:rPr>
          <w:rFonts w:ascii="Times New Roman" w:eastAsia="Times New Roman" w:hAnsi="Times New Roman"/>
          <w:color w:val="000000"/>
          <w:sz w:val="24"/>
          <w:szCs w:val="24"/>
        </w:rPr>
        <w:t xml:space="preserve">Users of financial statements — </w:t>
      </w:r>
      <w:proofErr w:type="spellStart"/>
      <w:r w:rsidRPr="00DF7DEE">
        <w:rPr>
          <w:rFonts w:ascii="Times New Roman" w:eastAsia="Times New Roman" w:hAnsi="Times New Roman"/>
          <w:color w:val="000000"/>
          <w:sz w:val="24"/>
          <w:szCs w:val="24"/>
        </w:rPr>
        <w:t>AccountingTools</w:t>
      </w:r>
      <w:proofErr w:type="spellEnd"/>
      <w:r w:rsidRPr="00DF7DEE">
        <w:rPr>
          <w:rFonts w:ascii="Times New Roman" w:eastAsia="Times New Roman" w:hAnsi="Times New Roman"/>
          <w:color w:val="000000"/>
          <w:sz w:val="24"/>
          <w:szCs w:val="24"/>
        </w:rPr>
        <w:t>.</w:t>
      </w:r>
      <w:proofErr w:type="gramEnd"/>
      <w:r w:rsidRPr="00DF7DEE">
        <w:rPr>
          <w:rFonts w:ascii="Times New Roman" w:eastAsia="Times New Roman" w:hAnsi="Times New Roman"/>
          <w:color w:val="000000"/>
          <w:sz w:val="24"/>
          <w:szCs w:val="24"/>
        </w:rPr>
        <w:t xml:space="preserve"> Retrieved 10 November 2021, from https://www.accountingtools.com/articles/users-of-financial-statements.html</w:t>
      </w:r>
    </w:p>
    <w:p w:rsidR="00DF7DEE" w:rsidRPr="00DF7DEE" w:rsidRDefault="00DF7DEE" w:rsidP="00DF7DEE">
      <w:pPr>
        <w:spacing w:after="180" w:line="480" w:lineRule="auto"/>
        <w:ind w:left="450" w:hanging="450"/>
        <w:jc w:val="both"/>
        <w:rPr>
          <w:rFonts w:ascii="Times New Roman" w:eastAsia="Times New Roman" w:hAnsi="Times New Roman"/>
          <w:color w:val="000000"/>
          <w:sz w:val="24"/>
          <w:szCs w:val="24"/>
        </w:rPr>
      </w:pPr>
      <w:proofErr w:type="gramStart"/>
      <w:r w:rsidRPr="00DF7DEE">
        <w:rPr>
          <w:rFonts w:ascii="Times New Roman" w:eastAsia="Times New Roman" w:hAnsi="Times New Roman"/>
          <w:color w:val="000000"/>
          <w:sz w:val="24"/>
          <w:szCs w:val="24"/>
        </w:rPr>
        <w:t>Types of Audit Risks and Their Sources.</w:t>
      </w:r>
      <w:proofErr w:type="gramEnd"/>
      <w:r w:rsidRPr="00DF7DEE">
        <w:rPr>
          <w:rFonts w:ascii="Times New Roman" w:eastAsia="Times New Roman" w:hAnsi="Times New Roman"/>
          <w:color w:val="000000"/>
          <w:sz w:val="24"/>
          <w:szCs w:val="24"/>
        </w:rPr>
        <w:t xml:space="preserve"> (2021). Retrieved 10 November 2021, from https://www.backoffice.com.my/audit/types-of-audit-risks-and-their-sources/</w:t>
      </w:r>
    </w:p>
    <w:p w:rsidR="00DF7DEE" w:rsidRPr="00DF7DEE" w:rsidRDefault="00DF7DEE" w:rsidP="00DF7DEE">
      <w:pPr>
        <w:spacing w:before="240" w:line="480" w:lineRule="auto"/>
        <w:jc w:val="both"/>
        <w:rPr>
          <w:rFonts w:ascii="Times New Roman" w:hAnsi="Times New Roman"/>
          <w:b/>
          <w:sz w:val="24"/>
          <w:szCs w:val="24"/>
        </w:rPr>
      </w:pPr>
    </w:p>
    <w:sectPr w:rsidR="00DF7DEE" w:rsidRPr="00DF7DEE" w:rsidSect="00F503EC">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ABD" w:rsidRDefault="00E45ABD" w:rsidP="008F0F8A">
      <w:pPr>
        <w:spacing w:after="0" w:line="240" w:lineRule="auto"/>
      </w:pPr>
      <w:r>
        <w:separator/>
      </w:r>
    </w:p>
  </w:endnote>
  <w:endnote w:type="continuationSeparator" w:id="0">
    <w:p w:rsidR="00E45ABD" w:rsidRDefault="00E45ABD" w:rsidP="008F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sz w:val="24"/>
        <w:szCs w:val="24"/>
      </w:rPr>
      <w:id w:val="-1674897358"/>
      <w:docPartObj>
        <w:docPartGallery w:val="Page Numbers (Bottom of Page)"/>
        <w:docPartUnique/>
      </w:docPartObj>
    </w:sdtPr>
    <w:sdtEndPr/>
    <w:sdtContent>
      <w:p w:rsidR="00BC2212" w:rsidRPr="00BC2212" w:rsidRDefault="00BC2212" w:rsidP="00BC2212">
        <w:pPr>
          <w:pStyle w:val="Footer"/>
          <w:pBdr>
            <w:top w:val="single" w:sz="4" w:space="1" w:color="auto"/>
          </w:pBdr>
          <w:jc w:val="right"/>
          <w:rPr>
            <w:rFonts w:ascii="Times New Roman" w:hAnsi="Times New Roman"/>
            <w:sz w:val="24"/>
            <w:szCs w:val="24"/>
          </w:rPr>
        </w:pPr>
        <w:r w:rsidRPr="00BC2212">
          <w:rPr>
            <w:rFonts w:ascii="Times New Roman" w:hAnsi="Times New Roman"/>
            <w:sz w:val="24"/>
            <w:szCs w:val="24"/>
          </w:rPr>
          <w:fldChar w:fldCharType="begin"/>
        </w:r>
        <w:r w:rsidRPr="00BC2212">
          <w:rPr>
            <w:rFonts w:ascii="Times New Roman" w:hAnsi="Times New Roman"/>
            <w:sz w:val="24"/>
            <w:szCs w:val="24"/>
          </w:rPr>
          <w:instrText xml:space="preserve"> PAGE   \* MERGEFORMAT </w:instrText>
        </w:r>
        <w:r w:rsidRPr="00BC2212">
          <w:rPr>
            <w:rFonts w:ascii="Times New Roman" w:hAnsi="Times New Roman"/>
            <w:sz w:val="24"/>
            <w:szCs w:val="24"/>
          </w:rPr>
          <w:fldChar w:fldCharType="separate"/>
        </w:r>
        <w:r w:rsidR="00F12F14">
          <w:rPr>
            <w:rFonts w:ascii="Times New Roman" w:hAnsi="Times New Roman"/>
            <w:noProof/>
            <w:sz w:val="24"/>
            <w:szCs w:val="24"/>
          </w:rPr>
          <w:t>2</w:t>
        </w:r>
        <w:r w:rsidRPr="00BC2212">
          <w:rPr>
            <w:rFonts w:ascii="Times New Roman" w:hAnsi="Times New Roman"/>
            <w:sz w:val="24"/>
            <w:szCs w:val="24"/>
          </w:rPr>
          <w:fldChar w:fldCharType="end"/>
        </w:r>
      </w:p>
    </w:sdtContent>
  </w:sdt>
  <w:p w:rsidR="00BC2212" w:rsidRPr="00BC2212" w:rsidRDefault="00BC2212" w:rsidP="00BC2212">
    <w:pPr>
      <w:pStyle w:val="Footer"/>
      <w:pBdr>
        <w:top w:val="single" w:sz="4" w:space="1" w:color="auto"/>
      </w:pBdr>
      <w:rPr>
        <w:rFonts w:ascii="Times New Roman" w:hAnsi="Times New Roman"/>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ABD" w:rsidRDefault="00E45ABD" w:rsidP="008F0F8A">
      <w:pPr>
        <w:spacing w:after="0" w:line="240" w:lineRule="auto"/>
      </w:pPr>
      <w:r>
        <w:separator/>
      </w:r>
    </w:p>
  </w:footnote>
  <w:footnote w:type="continuationSeparator" w:id="0">
    <w:p w:rsidR="00E45ABD" w:rsidRDefault="00E45ABD" w:rsidP="008F0F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F8A" w:rsidRPr="008F0F8A" w:rsidRDefault="008F0F8A" w:rsidP="008F0F8A">
    <w:pPr>
      <w:pStyle w:val="Header"/>
      <w:pBdr>
        <w:bottom w:val="single" w:sz="4" w:space="1" w:color="auto"/>
      </w:pBdr>
      <w:rPr>
        <w:rFonts w:ascii="Times New Roman" w:hAnsi="Times New Roman"/>
        <w:b/>
        <w:sz w:val="24"/>
        <w:szCs w:val="24"/>
      </w:rPr>
    </w:pPr>
    <w:r w:rsidRPr="008F0F8A">
      <w:rPr>
        <w:rFonts w:ascii="Times New Roman" w:hAnsi="Times New Roman"/>
        <w:b/>
        <w:sz w:val="24"/>
        <w:szCs w:val="24"/>
      </w:rPr>
      <w:t>HIH 78898 Solution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6C60D6"/>
    <w:multiLevelType w:val="hybridMultilevel"/>
    <w:tmpl w:val="21B6AC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F0F8A"/>
    <w:rsid w:val="00065C4F"/>
    <w:rsid w:val="00087F83"/>
    <w:rsid w:val="000D275D"/>
    <w:rsid w:val="00101354"/>
    <w:rsid w:val="001D11C2"/>
    <w:rsid w:val="0022793F"/>
    <w:rsid w:val="003D1174"/>
    <w:rsid w:val="00404C26"/>
    <w:rsid w:val="00475ED3"/>
    <w:rsid w:val="004C459C"/>
    <w:rsid w:val="004E3E2E"/>
    <w:rsid w:val="005242FA"/>
    <w:rsid w:val="00536AE9"/>
    <w:rsid w:val="00580468"/>
    <w:rsid w:val="005D1CD8"/>
    <w:rsid w:val="00647C9E"/>
    <w:rsid w:val="00682703"/>
    <w:rsid w:val="00877261"/>
    <w:rsid w:val="008F0F8A"/>
    <w:rsid w:val="0090264B"/>
    <w:rsid w:val="00A74CE9"/>
    <w:rsid w:val="00A806E7"/>
    <w:rsid w:val="00AE7A6E"/>
    <w:rsid w:val="00BC2212"/>
    <w:rsid w:val="00C06DAB"/>
    <w:rsid w:val="00C16546"/>
    <w:rsid w:val="00C712EE"/>
    <w:rsid w:val="00CF39AA"/>
    <w:rsid w:val="00D72758"/>
    <w:rsid w:val="00DA0DCF"/>
    <w:rsid w:val="00DD2BA4"/>
    <w:rsid w:val="00DF7DEE"/>
    <w:rsid w:val="00E45ABD"/>
    <w:rsid w:val="00F12F14"/>
    <w:rsid w:val="00F50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03EC"/>
  </w:style>
  <w:style w:type="paragraph" w:styleId="Heading2">
    <w:name w:val="heading 2"/>
    <w:basedOn w:val="Normal"/>
    <w:link w:val="Heading2Char"/>
    <w:uiPriority w:val="9"/>
    <w:qFormat/>
    <w:rsid w:val="00DF7DEE"/>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8F0F8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F0F8A"/>
  </w:style>
  <w:style w:type="paragraph" w:styleId="Footer">
    <w:name w:val="footer"/>
    <w:basedOn w:val="Normal"/>
    <w:link w:val="FooterChar"/>
    <w:uiPriority w:val="99"/>
    <w:unhideWhenUsed/>
    <w:rsid w:val="008F0F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F8A"/>
  </w:style>
  <w:style w:type="paragraph" w:styleId="ListParagraph">
    <w:name w:val="List Paragraph"/>
    <w:basedOn w:val="Normal"/>
    <w:uiPriority w:val="34"/>
    <w:qFormat/>
    <w:rsid w:val="008F0F8A"/>
    <w:pPr>
      <w:ind w:left="720"/>
      <w:contextualSpacing/>
    </w:pPr>
  </w:style>
  <w:style w:type="table" w:styleId="TableGrid">
    <w:name w:val="Table Grid"/>
    <w:basedOn w:val="TableNormal"/>
    <w:uiPriority w:val="59"/>
    <w:rsid w:val="00065C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E3E2E"/>
    <w:rPr>
      <w:color w:val="0000FF" w:themeColor="hyperlink"/>
      <w:u w:val="single"/>
    </w:rPr>
  </w:style>
  <w:style w:type="character" w:customStyle="1" w:styleId="Heading2Char">
    <w:name w:val="Heading 2 Char"/>
    <w:basedOn w:val="DefaultParagraphFont"/>
    <w:link w:val="Heading2"/>
    <w:uiPriority w:val="9"/>
    <w:rsid w:val="00DF7DEE"/>
    <w:rPr>
      <w:rFonts w:ascii="Times New Roman" w:eastAsia="Times New Roman" w:hAnsi="Times New Roman"/>
      <w:b/>
      <w:bCs/>
      <w:sz w:val="36"/>
      <w:szCs w:val="36"/>
    </w:rPr>
  </w:style>
  <w:style w:type="paragraph" w:styleId="NormalWeb">
    <w:name w:val="Normal (Web)"/>
    <w:basedOn w:val="Normal"/>
    <w:uiPriority w:val="99"/>
    <w:semiHidden/>
    <w:unhideWhenUsed/>
    <w:rsid w:val="00DF7DEE"/>
    <w:pPr>
      <w:spacing w:before="100" w:beforeAutospacing="1" w:after="100" w:afterAutospacing="1"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57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3</Pages>
  <Words>452</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awais.imran</dc:creator>
  <cp:keywords/>
  <dc:description/>
  <cp:lastModifiedBy>hp</cp:lastModifiedBy>
  <cp:revision>35</cp:revision>
  <dcterms:created xsi:type="dcterms:W3CDTF">2021-11-10T11:41:00Z</dcterms:created>
  <dcterms:modified xsi:type="dcterms:W3CDTF">2021-11-10T15:10:00Z</dcterms:modified>
</cp:coreProperties>
</file>